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9B7" w:rsidRPr="00961CC7" w:rsidRDefault="00961CC7" w:rsidP="002C1203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961CC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СОВЕТ ПОКРОВСКОГО СЕЛЬСКОГО ПОСЕЛЕНИЯ</w:t>
      </w:r>
    </w:p>
    <w:p w:rsidR="007359B7" w:rsidRPr="00961CC7" w:rsidRDefault="00961CC7" w:rsidP="007359B7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961CC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НОВОПОКРОВСКОГО </w:t>
      </w:r>
      <w:r w:rsidR="007359B7" w:rsidRPr="00961CC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РАЙОНА</w:t>
      </w:r>
    </w:p>
    <w:p w:rsidR="007359B7" w:rsidRPr="00961CC7" w:rsidRDefault="007359B7" w:rsidP="007359B7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7359B7" w:rsidRPr="00961CC7" w:rsidRDefault="007359B7" w:rsidP="007359B7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961CC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РЕШЕНИЕ</w:t>
      </w:r>
    </w:p>
    <w:p w:rsidR="00961CC7" w:rsidRDefault="00961CC7" w:rsidP="00961CC7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(третий созыв)</w:t>
      </w:r>
    </w:p>
    <w:p w:rsidR="00961CC7" w:rsidRDefault="00961CC7" w:rsidP="00961CC7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B54FB" w:rsidRDefault="008D10C9" w:rsidP="00961CC7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от 12.11.</w:t>
      </w:r>
      <w:r w:rsidR="007359B7" w:rsidRPr="00961CC7">
        <w:rPr>
          <w:rFonts w:ascii="Times New Roman" w:eastAsia="Calibri" w:hAnsi="Times New Roman" w:cs="Times New Roman"/>
          <w:sz w:val="28"/>
          <w:szCs w:val="28"/>
          <w:lang w:eastAsia="ar-SA"/>
        </w:rPr>
        <w:t>201</w:t>
      </w:r>
      <w:r w:rsidR="008D2E57" w:rsidRPr="00961CC7">
        <w:rPr>
          <w:rFonts w:ascii="Times New Roman" w:eastAsia="Calibri" w:hAnsi="Times New Roman" w:cs="Times New Roman"/>
          <w:sz w:val="28"/>
          <w:szCs w:val="28"/>
          <w:lang w:eastAsia="ar-SA"/>
        </w:rPr>
        <w:t>8</w:t>
      </w:r>
      <w:r w:rsidR="007359B7" w:rsidRPr="00961CC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504F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</w:t>
      </w:r>
      <w:r w:rsidR="007359B7" w:rsidRPr="00961CC7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                </w:t>
      </w:r>
      <w:r w:rsidR="00961CC7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                                       </w:t>
      </w:r>
      <w:r w:rsidR="007359B7" w:rsidRPr="00961CC7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№ 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>181</w:t>
      </w:r>
    </w:p>
    <w:p w:rsidR="007359B7" w:rsidRPr="00961CC7" w:rsidRDefault="00961CC7" w:rsidP="00961CC7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пос</w:t>
      </w:r>
      <w:r w:rsidR="008D2E57" w:rsidRPr="00961CC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Новопокровский</w:t>
      </w:r>
    </w:p>
    <w:p w:rsidR="007359B7" w:rsidRPr="00961CC7" w:rsidRDefault="007359B7" w:rsidP="007359B7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359B7" w:rsidRPr="00175CB2" w:rsidRDefault="007359B7" w:rsidP="007359B7">
      <w:pPr>
        <w:spacing w:after="0" w:line="240" w:lineRule="auto"/>
        <w:ind w:left="567" w:right="566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Совета </w:t>
      </w:r>
      <w:r w:rsidR="00961CC7" w:rsidRPr="00175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Покровского сельского</w:t>
      </w:r>
      <w:r w:rsidRPr="00175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</w:t>
      </w:r>
      <w:r w:rsidR="00961CC7" w:rsidRPr="00175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Новопокровского</w:t>
      </w:r>
      <w:r w:rsidRPr="00175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от </w:t>
      </w:r>
      <w:r w:rsidR="00961CC7" w:rsidRPr="00175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 октября 2016</w:t>
      </w:r>
      <w:r w:rsidRPr="00175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 w:rsidR="00961CC7" w:rsidRPr="00175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81</w:t>
      </w:r>
      <w:r w:rsidRPr="00175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 налог</w:t>
      </w:r>
      <w:r w:rsidR="00961CC7" w:rsidRPr="00175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175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имущество физических лиц»</w:t>
      </w:r>
    </w:p>
    <w:p w:rsidR="008D2E57" w:rsidRDefault="008D2E57" w:rsidP="007359B7">
      <w:pPr>
        <w:suppressAutoHyphens/>
        <w:spacing w:after="0" w:line="240" w:lineRule="auto"/>
        <w:ind w:firstLine="567"/>
        <w:jc w:val="center"/>
        <w:rPr>
          <w:rFonts w:ascii="Arial" w:eastAsia="SimSun" w:hAnsi="Arial" w:cs="Arial"/>
          <w:b/>
          <w:color w:val="FF0000"/>
          <w:sz w:val="20"/>
          <w:szCs w:val="20"/>
          <w:lang w:eastAsia="ar-SA"/>
        </w:rPr>
      </w:pPr>
    </w:p>
    <w:p w:rsidR="008D2E57" w:rsidRPr="003169B2" w:rsidRDefault="008D2E57" w:rsidP="007359B7">
      <w:pPr>
        <w:suppressAutoHyphens/>
        <w:spacing w:after="0" w:line="240" w:lineRule="auto"/>
        <w:ind w:firstLine="567"/>
        <w:jc w:val="center"/>
        <w:rPr>
          <w:rFonts w:ascii="Arial" w:eastAsia="SimSun" w:hAnsi="Arial" w:cs="Arial"/>
          <w:b/>
          <w:color w:val="FF0000"/>
          <w:sz w:val="20"/>
          <w:szCs w:val="20"/>
          <w:lang w:eastAsia="ar-SA"/>
        </w:rPr>
      </w:pPr>
    </w:p>
    <w:p w:rsidR="007359B7" w:rsidRDefault="007359B7" w:rsidP="007359B7">
      <w:pPr>
        <w:keepNext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961C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главой 32 Налогового кодекса Российской Федерации, Законом Краснодарского края от 26 ноября 2003 года № 620-КЗ «О налоге на имущество организаций», Федеральным законом от 30 сентября 2017 года № 286-ФЗ «О внесении изменений в часть вторую Налогового кодекса Российской Федерации и отдельные</w:t>
      </w:r>
      <w:proofErr w:type="gramEnd"/>
      <w:r w:rsidRPr="00961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законодательные акты Российской Федерации», Законом Краснодарского края от 4 апреля 2016 года № 3368-КЗ «Об установлении единой даты начала применения на территории Краснодарского края порядка определения налоговой базы по налогу на имущество физических лиц исходя из кадастровой стоим</w:t>
      </w:r>
      <w:r w:rsidR="008D2E57" w:rsidRPr="00961C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объектов налогообложения»,</w:t>
      </w:r>
      <w:r w:rsidRPr="00961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</w:t>
      </w:r>
      <w:r w:rsidR="00961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Покровского сельского</w:t>
      </w:r>
      <w:r w:rsidRPr="00961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961CC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</w:t>
      </w:r>
      <w:r w:rsidRPr="00961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spellStart"/>
      <w:proofErr w:type="gramStart"/>
      <w:r w:rsidRPr="00961CC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="00961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CC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61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1CC7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spellEnd"/>
      <w:r w:rsidR="00961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C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61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CC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3169B2">
        <w:rPr>
          <w:rFonts w:ascii="Arial" w:eastAsia="Times New Roman" w:hAnsi="Arial" w:cs="Arial"/>
          <w:sz w:val="20"/>
          <w:szCs w:val="20"/>
          <w:lang w:eastAsia="ru-RU"/>
        </w:rPr>
        <w:t>:</w:t>
      </w:r>
    </w:p>
    <w:p w:rsidR="00054674" w:rsidRPr="003169B2" w:rsidRDefault="00054674" w:rsidP="007359B7">
      <w:pPr>
        <w:keepNext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7359B7" w:rsidRPr="006643D7" w:rsidRDefault="007359B7" w:rsidP="006643D7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643D7">
        <w:rPr>
          <w:rFonts w:ascii="Times New Roman" w:eastAsia="SimSun" w:hAnsi="Times New Roman" w:cs="Times New Roman"/>
          <w:sz w:val="28"/>
          <w:szCs w:val="28"/>
          <w:lang w:eastAsia="ru-RU"/>
        </w:rPr>
        <w:t>1.</w:t>
      </w:r>
      <w:r w:rsidR="00555E13" w:rsidRPr="006643D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6643D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Внести </w:t>
      </w:r>
      <w:r w:rsidR="002264C5" w:rsidRPr="006643D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</w:t>
      </w:r>
      <w:r w:rsidRPr="006643D7">
        <w:rPr>
          <w:rFonts w:ascii="Times New Roman" w:eastAsia="SimSun" w:hAnsi="Times New Roman" w:cs="Times New Roman"/>
          <w:sz w:val="28"/>
          <w:szCs w:val="28"/>
          <w:lang w:eastAsia="ru-RU"/>
        </w:rPr>
        <w:t>решени</w:t>
      </w:r>
      <w:r w:rsidR="002264C5" w:rsidRPr="006643D7">
        <w:rPr>
          <w:rFonts w:ascii="Times New Roman" w:eastAsia="SimSun" w:hAnsi="Times New Roman" w:cs="Times New Roman"/>
          <w:sz w:val="28"/>
          <w:szCs w:val="28"/>
          <w:lang w:eastAsia="ru-RU"/>
        </w:rPr>
        <w:t>е</w:t>
      </w:r>
      <w:r w:rsidRPr="006643D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6643D7">
        <w:rPr>
          <w:rFonts w:ascii="Times New Roman" w:eastAsia="SimSun" w:hAnsi="Times New Roman" w:cs="Times New Roman"/>
          <w:sz w:val="28"/>
          <w:szCs w:val="28"/>
          <w:lang w:eastAsia="ar-SA"/>
        </w:rPr>
        <w:t>Совета</w:t>
      </w:r>
      <w:r w:rsidR="00961CC7" w:rsidRPr="006643D7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Покровского сельского</w:t>
      </w:r>
      <w:r w:rsidRPr="006643D7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поселения </w:t>
      </w:r>
      <w:r w:rsidR="00961CC7" w:rsidRPr="006643D7">
        <w:rPr>
          <w:rFonts w:ascii="Times New Roman" w:eastAsia="SimSun" w:hAnsi="Times New Roman" w:cs="Times New Roman"/>
          <w:sz w:val="28"/>
          <w:szCs w:val="28"/>
          <w:lang w:eastAsia="ar-SA"/>
        </w:rPr>
        <w:t>Новопокровского</w:t>
      </w:r>
      <w:r w:rsidRPr="006643D7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района от </w:t>
      </w:r>
      <w:r w:rsidR="00961CC7" w:rsidRPr="006643D7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17 октября 2016 </w:t>
      </w:r>
      <w:r w:rsidRPr="006643D7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года № </w:t>
      </w:r>
      <w:r w:rsidR="00961CC7" w:rsidRPr="006643D7">
        <w:rPr>
          <w:rFonts w:ascii="Times New Roman" w:eastAsia="SimSun" w:hAnsi="Times New Roman" w:cs="Times New Roman"/>
          <w:sz w:val="28"/>
          <w:szCs w:val="28"/>
          <w:lang w:eastAsia="ar-SA"/>
        </w:rPr>
        <w:t>81</w:t>
      </w:r>
      <w:r w:rsidRPr="006643D7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«О</w:t>
      </w:r>
      <w:r w:rsidR="007D5A2C" w:rsidRPr="006643D7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Pr="006643D7">
        <w:rPr>
          <w:rFonts w:ascii="Times New Roman" w:eastAsia="SimSun" w:hAnsi="Times New Roman" w:cs="Times New Roman"/>
          <w:sz w:val="28"/>
          <w:szCs w:val="28"/>
          <w:lang w:eastAsia="ar-SA"/>
        </w:rPr>
        <w:t>налог</w:t>
      </w:r>
      <w:r w:rsidR="007D5A2C" w:rsidRPr="006643D7">
        <w:rPr>
          <w:rFonts w:ascii="Times New Roman" w:eastAsia="SimSun" w:hAnsi="Times New Roman" w:cs="Times New Roman"/>
          <w:sz w:val="28"/>
          <w:szCs w:val="28"/>
          <w:lang w:eastAsia="ar-SA"/>
        </w:rPr>
        <w:t>е</w:t>
      </w:r>
      <w:r w:rsidRPr="006643D7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на имущество физических лиц</w:t>
      </w:r>
      <w:r w:rsidR="001102E1" w:rsidRPr="006643D7">
        <w:rPr>
          <w:rFonts w:ascii="Times New Roman" w:eastAsia="SimSun" w:hAnsi="Times New Roman" w:cs="Times New Roman"/>
          <w:sz w:val="28"/>
          <w:szCs w:val="28"/>
          <w:lang w:eastAsia="ar-SA"/>
        </w:rPr>
        <w:t>»</w:t>
      </w:r>
      <w:r w:rsidR="002804AF" w:rsidRPr="006643D7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(далее – Решение)</w:t>
      </w:r>
      <w:r w:rsidR="005077FE" w:rsidRPr="006643D7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2804AF" w:rsidRPr="006643D7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следующие </w:t>
      </w:r>
      <w:r w:rsidR="002264C5" w:rsidRPr="006643D7">
        <w:rPr>
          <w:rFonts w:ascii="Times New Roman" w:eastAsia="SimSun" w:hAnsi="Times New Roman" w:cs="Times New Roman"/>
          <w:sz w:val="28"/>
          <w:szCs w:val="28"/>
          <w:lang w:eastAsia="ru-RU"/>
        </w:rPr>
        <w:t>изменения</w:t>
      </w:r>
      <w:r w:rsidR="002804AF" w:rsidRPr="006643D7">
        <w:rPr>
          <w:rFonts w:ascii="Times New Roman" w:eastAsia="SimSun" w:hAnsi="Times New Roman" w:cs="Times New Roman"/>
          <w:sz w:val="28"/>
          <w:szCs w:val="28"/>
          <w:lang w:eastAsia="ru-RU"/>
        </w:rPr>
        <w:t>:</w:t>
      </w:r>
    </w:p>
    <w:p w:rsidR="002804AF" w:rsidRPr="006643D7" w:rsidRDefault="006C48DA" w:rsidP="006643D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43D7">
        <w:rPr>
          <w:rFonts w:ascii="Times New Roman" w:eastAsia="SimSun" w:hAnsi="Times New Roman" w:cs="Times New Roman"/>
          <w:sz w:val="28"/>
          <w:szCs w:val="28"/>
          <w:lang w:eastAsia="ru-RU"/>
        </w:rPr>
        <w:t>1.1. «</w:t>
      </w:r>
      <w:r w:rsidR="002804AF" w:rsidRPr="006643D7">
        <w:rPr>
          <w:rFonts w:ascii="Times New Roman" w:hAnsi="Times New Roman" w:cs="Times New Roman"/>
          <w:sz w:val="28"/>
          <w:szCs w:val="28"/>
        </w:rPr>
        <w:t>в пункте 3 по строке 3 графы 3 цифру «2» заменить цифрой «1».</w:t>
      </w:r>
    </w:p>
    <w:p w:rsidR="002804AF" w:rsidRPr="006643D7" w:rsidRDefault="006C48DA" w:rsidP="006643D7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643D7">
        <w:rPr>
          <w:rFonts w:ascii="Times New Roman" w:eastAsia="SimSun" w:hAnsi="Times New Roman" w:cs="Times New Roman"/>
          <w:sz w:val="28"/>
          <w:szCs w:val="28"/>
          <w:lang w:eastAsia="ar-SA"/>
        </w:rPr>
        <w:t>1.2</w:t>
      </w:r>
      <w:r w:rsidR="002804AF" w:rsidRPr="006643D7">
        <w:rPr>
          <w:rFonts w:ascii="Times New Roman" w:eastAsia="SimSun" w:hAnsi="Times New Roman" w:cs="Times New Roman"/>
          <w:sz w:val="28"/>
          <w:szCs w:val="28"/>
          <w:lang w:eastAsia="ru-RU"/>
        </w:rPr>
        <w:t>. Дополнить Решение пунктом 3.1 следующего содержания:</w:t>
      </w:r>
    </w:p>
    <w:p w:rsidR="007359B7" w:rsidRDefault="002804AF" w:rsidP="006643D7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6643D7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7359B7" w:rsidRPr="006643D7">
        <w:rPr>
          <w:rFonts w:ascii="Times New Roman" w:eastAsia="SimSun" w:hAnsi="Times New Roman" w:cs="Times New Roman"/>
          <w:sz w:val="28"/>
          <w:szCs w:val="28"/>
          <w:lang w:eastAsia="ar-SA"/>
        </w:rPr>
        <w:t>«3.</w:t>
      </w:r>
      <w:r w:rsidR="006643D7" w:rsidRPr="006643D7">
        <w:rPr>
          <w:rFonts w:ascii="Times New Roman" w:eastAsia="SimSun" w:hAnsi="Times New Roman" w:cs="Times New Roman"/>
          <w:sz w:val="28"/>
          <w:szCs w:val="28"/>
          <w:lang w:eastAsia="ar-SA"/>
        </w:rPr>
        <w:t>1</w:t>
      </w:r>
      <w:r w:rsidR="006643D7">
        <w:rPr>
          <w:rFonts w:ascii="Times New Roman" w:eastAsia="SimSun" w:hAnsi="Times New Roman" w:cs="Times New Roman"/>
          <w:sz w:val="28"/>
          <w:szCs w:val="28"/>
          <w:lang w:eastAsia="ar-SA"/>
        </w:rPr>
        <w:t>.</w:t>
      </w:r>
      <w:r w:rsidR="007359B7" w:rsidRPr="006643D7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Установить</w:t>
      </w:r>
      <w:r w:rsidR="00196B53" w:rsidRPr="006643D7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в 2019 году</w:t>
      </w:r>
      <w:r w:rsidR="007359B7" w:rsidRPr="006643D7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налоговые ставки </w:t>
      </w:r>
      <w:proofErr w:type="gramStart"/>
      <w:r w:rsidR="007359B7" w:rsidRPr="006643D7">
        <w:rPr>
          <w:rFonts w:ascii="Times New Roman" w:eastAsia="SimSun" w:hAnsi="Times New Roman" w:cs="Times New Roman"/>
          <w:sz w:val="28"/>
          <w:szCs w:val="28"/>
          <w:lang w:eastAsia="ar-SA"/>
        </w:rPr>
        <w:t>налога</w:t>
      </w:r>
      <w:proofErr w:type="gramEnd"/>
      <w:r w:rsidR="007359B7" w:rsidRPr="006643D7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на имущество физических лиц исходя из кадастровой стоимости объектов налогообложения в следующих размерах:</w:t>
      </w:r>
    </w:p>
    <w:p w:rsidR="006643D7" w:rsidRPr="006643D7" w:rsidRDefault="006643D7" w:rsidP="006643D7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tbl>
      <w:tblPr>
        <w:tblW w:w="93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7"/>
        <w:gridCol w:w="2127"/>
        <w:gridCol w:w="6666"/>
      </w:tblGrid>
      <w:tr w:rsidR="007359B7" w:rsidRPr="007941CF" w:rsidTr="00994497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59B7" w:rsidRPr="007941CF" w:rsidRDefault="007359B7" w:rsidP="00994497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B7" w:rsidRPr="007941CF" w:rsidRDefault="007359B7" w:rsidP="00994497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Налоговая ставка, %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B7" w:rsidRPr="007941CF" w:rsidRDefault="007359B7" w:rsidP="00994497">
            <w:pPr>
              <w:tabs>
                <w:tab w:val="left" w:pos="2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налогообложения</w:t>
            </w:r>
          </w:p>
        </w:tc>
      </w:tr>
      <w:tr w:rsidR="007359B7" w:rsidRPr="007941CF" w:rsidTr="005717EB">
        <w:trPr>
          <w:trHeight w:val="3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B7" w:rsidRPr="007941CF" w:rsidRDefault="007359B7" w:rsidP="005717EB">
            <w:pPr>
              <w:tabs>
                <w:tab w:val="left" w:pos="176"/>
                <w:tab w:val="left" w:pos="34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794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9B7" w:rsidRPr="007941CF" w:rsidRDefault="007941CF" w:rsidP="007359B7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571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B7" w:rsidRPr="007941CF" w:rsidRDefault="007A2DAD" w:rsidP="007A2D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вартиры, части квартир, комнаты</w:t>
            </w:r>
          </w:p>
        </w:tc>
      </w:tr>
      <w:tr w:rsidR="005717EB" w:rsidRPr="007941CF" w:rsidTr="002D39D8">
        <w:trPr>
          <w:trHeight w:val="48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17EB" w:rsidRPr="007941CF" w:rsidRDefault="005717EB" w:rsidP="00994497">
            <w:pPr>
              <w:tabs>
                <w:tab w:val="left" w:pos="15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717EB" w:rsidRPr="007941CF" w:rsidRDefault="005717EB" w:rsidP="007359B7">
            <w:pPr>
              <w:tabs>
                <w:tab w:val="left" w:pos="459"/>
                <w:tab w:val="left" w:pos="34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  <w:p w:rsidR="005717EB" w:rsidRPr="007941CF" w:rsidRDefault="005717EB" w:rsidP="00994497">
            <w:pPr>
              <w:tabs>
                <w:tab w:val="left" w:pos="459"/>
                <w:tab w:val="left" w:pos="34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17EB" w:rsidRPr="007941CF" w:rsidRDefault="005717EB" w:rsidP="00994497">
            <w:p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17EB" w:rsidRPr="007941CF" w:rsidRDefault="005717EB" w:rsidP="009944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A16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Жилые дома, части жилых домов;</w:t>
            </w:r>
          </w:p>
          <w:p w:rsidR="005717EB" w:rsidRPr="007941CF" w:rsidRDefault="005717EB" w:rsidP="009944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Единые недвижимые комплексы, в состав которых входит хотя бы один жилой дом;</w:t>
            </w:r>
          </w:p>
          <w:p w:rsidR="005717EB" w:rsidRPr="007941CF" w:rsidRDefault="005717EB" w:rsidP="009944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Хозяйственные строения или сооружения, площадь каждого из которых не превышает 50 кв. м.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  <w:p w:rsidR="005717EB" w:rsidRPr="007941CF" w:rsidRDefault="005717EB" w:rsidP="0099449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4.Гаражи и </w:t>
            </w:r>
            <w:proofErr w:type="spellStart"/>
            <w:r w:rsidRPr="00794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машино-места</w:t>
            </w:r>
            <w:proofErr w:type="spellEnd"/>
            <w:r w:rsidRPr="00794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 расположенные в объектах налогообложения, указанных в строке 3 таблицы</w:t>
            </w:r>
          </w:p>
          <w:p w:rsidR="005717EB" w:rsidRPr="007941CF" w:rsidRDefault="005717EB" w:rsidP="009944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794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Объекты незавершенного строительства в случае, если проектируемым назначением таких объектов является жилой дом</w:t>
            </w:r>
          </w:p>
        </w:tc>
      </w:tr>
      <w:tr w:rsidR="008C56FB" w:rsidRPr="007941CF" w:rsidTr="00500435">
        <w:trPr>
          <w:trHeight w:val="2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56FB" w:rsidRPr="007941CF" w:rsidRDefault="008C56FB" w:rsidP="00994497">
            <w:pPr>
              <w:tabs>
                <w:tab w:val="left" w:pos="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6FB" w:rsidRPr="007941CF" w:rsidRDefault="008C56FB" w:rsidP="007359B7">
            <w:pPr>
              <w:tabs>
                <w:tab w:val="left" w:pos="1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</w:t>
            </w:r>
            <w:r w:rsidR="00571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FB" w:rsidRPr="007941CF" w:rsidRDefault="008C56FB" w:rsidP="009944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Объекты налогообложения, включенные в перечень, определяемый в соответствии с пунктом 7 статьи 378.2 НК РФ;</w:t>
            </w:r>
          </w:p>
          <w:p w:rsidR="008C56FB" w:rsidRPr="007941CF" w:rsidRDefault="008C56FB" w:rsidP="009944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Объекты налогообложения, предусмотренные абзацем вторым пункта 10 статьи 378.2 НК РФ; </w:t>
            </w:r>
          </w:p>
          <w:p w:rsidR="008C56FB" w:rsidRPr="007941CF" w:rsidRDefault="008C56FB" w:rsidP="0099449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Объекты налогообложения, кадастровая стоимость каждого из которых превышает 300 000 000 рублей</w:t>
            </w:r>
          </w:p>
        </w:tc>
      </w:tr>
      <w:tr w:rsidR="007359B7" w:rsidRPr="007941CF" w:rsidTr="009944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B7" w:rsidRPr="007941CF" w:rsidRDefault="007359B7" w:rsidP="00994497">
            <w:pPr>
              <w:tabs>
                <w:tab w:val="left" w:pos="1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59B7" w:rsidRPr="007941CF" w:rsidRDefault="009725B6" w:rsidP="007359B7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B7" w:rsidRPr="007941CF" w:rsidRDefault="007359B7" w:rsidP="009944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объекты налогообложения</w:t>
            </w:r>
          </w:p>
        </w:tc>
      </w:tr>
    </w:tbl>
    <w:p w:rsidR="007359B7" w:rsidRPr="007941CF" w:rsidRDefault="007359B7" w:rsidP="007359B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1CF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</w:p>
    <w:p w:rsidR="007359B7" w:rsidRPr="007941CF" w:rsidRDefault="007359B7" w:rsidP="007359B7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7941CF">
        <w:rPr>
          <w:rFonts w:ascii="Times New Roman" w:eastAsia="SimSun" w:hAnsi="Times New Roman" w:cs="Times New Roman"/>
          <w:sz w:val="28"/>
          <w:szCs w:val="28"/>
          <w:lang w:eastAsia="ar-SA"/>
        </w:rPr>
        <w:t>2. Настоящее решение подлежит официальному опубликованию.</w:t>
      </w:r>
    </w:p>
    <w:p w:rsidR="007359B7" w:rsidRPr="007941CF" w:rsidRDefault="007359B7" w:rsidP="007359B7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7941CF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3. </w:t>
      </w:r>
      <w:r w:rsidRPr="007941CF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Копию настоящего решения</w:t>
      </w:r>
      <w:r w:rsidRPr="007941CF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направить в Межрайонную инспекцию Федеральной налоговой службы России № </w:t>
      </w:r>
      <w:r w:rsidR="009725B6">
        <w:rPr>
          <w:rFonts w:ascii="Times New Roman" w:eastAsia="SimSun" w:hAnsi="Times New Roman" w:cs="Times New Roman"/>
          <w:sz w:val="28"/>
          <w:szCs w:val="28"/>
          <w:lang w:eastAsia="ar-SA"/>
        </w:rPr>
        <w:t>1</w:t>
      </w:r>
      <w:r w:rsidR="008D2E57" w:rsidRPr="007941CF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Pr="007941CF">
        <w:rPr>
          <w:rFonts w:ascii="Times New Roman" w:eastAsia="SimSun" w:hAnsi="Times New Roman" w:cs="Times New Roman"/>
          <w:sz w:val="28"/>
          <w:szCs w:val="28"/>
          <w:lang w:eastAsia="ar-SA"/>
        </w:rPr>
        <w:t>по Краснодарскому краю для руководства в работе.</w:t>
      </w:r>
    </w:p>
    <w:p w:rsidR="007359B7" w:rsidRPr="007941CF" w:rsidRDefault="007359B7" w:rsidP="007359B7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7941CF">
        <w:rPr>
          <w:rFonts w:ascii="Times New Roman" w:eastAsia="SimSun" w:hAnsi="Times New Roman" w:cs="Times New Roman"/>
          <w:sz w:val="28"/>
          <w:szCs w:val="28"/>
          <w:lang w:eastAsia="ar-SA"/>
        </w:rPr>
        <w:t>4. Опубликовать настоящее решение в газете «</w:t>
      </w:r>
      <w:r w:rsidR="009725B6">
        <w:rPr>
          <w:rFonts w:ascii="Times New Roman" w:eastAsia="SimSun" w:hAnsi="Times New Roman" w:cs="Times New Roman"/>
          <w:sz w:val="28"/>
          <w:szCs w:val="28"/>
          <w:lang w:eastAsia="ar-SA"/>
        </w:rPr>
        <w:t>Сельская газета</w:t>
      </w:r>
      <w:r w:rsidRPr="007941CF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» и разместить на официальном сайте Совета </w:t>
      </w:r>
      <w:r w:rsidR="009725B6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Покровского сельского </w:t>
      </w:r>
      <w:r w:rsidRPr="007941CF">
        <w:rPr>
          <w:rFonts w:ascii="Times New Roman" w:eastAsia="SimSun" w:hAnsi="Times New Roman" w:cs="Times New Roman"/>
          <w:sz w:val="28"/>
          <w:szCs w:val="28"/>
          <w:lang w:eastAsia="ar-SA"/>
        </w:rPr>
        <w:t>поселения</w:t>
      </w:r>
      <w:r w:rsidR="009725B6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Новопокровского района </w:t>
      </w:r>
      <w:r w:rsidRPr="007941CF">
        <w:rPr>
          <w:rFonts w:ascii="Times New Roman" w:eastAsia="SimSun" w:hAnsi="Times New Roman" w:cs="Times New Roman"/>
          <w:sz w:val="28"/>
          <w:szCs w:val="28"/>
          <w:lang w:eastAsia="ar-SA"/>
        </w:rPr>
        <w:t>в информационно-телекоммуникационной сети «Интернет».</w:t>
      </w:r>
    </w:p>
    <w:p w:rsidR="007359B7" w:rsidRPr="007941CF" w:rsidRDefault="007359B7" w:rsidP="00555E1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7941CF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5. </w:t>
      </w:r>
      <w:proofErr w:type="gramStart"/>
      <w:r w:rsidRPr="007941CF">
        <w:rPr>
          <w:rFonts w:ascii="Times New Roman" w:eastAsia="SimSu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7941CF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выполнением настоящего решения во</w:t>
      </w:r>
      <w:r w:rsidR="00681432">
        <w:rPr>
          <w:rFonts w:ascii="Times New Roman" w:eastAsia="SimSun" w:hAnsi="Times New Roman" w:cs="Times New Roman"/>
          <w:sz w:val="28"/>
          <w:szCs w:val="28"/>
          <w:lang w:eastAsia="ar-SA"/>
        </w:rPr>
        <w:t>зложить на комиссию по налогам, бюджету, муниципальному и народному хозяйству, охране окружающей среды</w:t>
      </w:r>
      <w:r w:rsidR="008D2E57" w:rsidRPr="007941CF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Совета </w:t>
      </w:r>
      <w:r w:rsidR="00681432">
        <w:rPr>
          <w:rFonts w:ascii="Times New Roman" w:eastAsia="SimSun" w:hAnsi="Times New Roman" w:cs="Times New Roman"/>
          <w:sz w:val="28"/>
          <w:szCs w:val="28"/>
          <w:lang w:eastAsia="ar-SA"/>
        </w:rPr>
        <w:t>Покровского сельского</w:t>
      </w:r>
      <w:r w:rsidR="008D2E57" w:rsidRPr="007941CF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поселения </w:t>
      </w:r>
      <w:r w:rsidR="00681432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Новопокровского </w:t>
      </w:r>
      <w:r w:rsidR="008D2E57" w:rsidRPr="007941CF">
        <w:rPr>
          <w:rFonts w:ascii="Times New Roman" w:eastAsia="SimSun" w:hAnsi="Times New Roman" w:cs="Times New Roman"/>
          <w:sz w:val="28"/>
          <w:szCs w:val="28"/>
          <w:lang w:eastAsia="ar-SA"/>
        </w:rPr>
        <w:t>района</w:t>
      </w:r>
      <w:r w:rsidR="008C56F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(Власов)</w:t>
      </w:r>
      <w:r w:rsidRPr="007941CF">
        <w:rPr>
          <w:rFonts w:ascii="Times New Roman" w:eastAsia="SimSun" w:hAnsi="Times New Roman" w:cs="Times New Roman"/>
          <w:sz w:val="28"/>
          <w:szCs w:val="28"/>
          <w:lang w:eastAsia="ar-SA"/>
        </w:rPr>
        <w:t>.</w:t>
      </w:r>
    </w:p>
    <w:p w:rsidR="006C48DA" w:rsidRPr="007941CF" w:rsidRDefault="006C48DA" w:rsidP="006C48DA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6. Подпункт 1.1</w:t>
      </w:r>
      <w:r w:rsidRPr="007941CF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пункта 1 настоящего решения вступает в силу со дня его официального опубликования и распространяется на правоотно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>шения, возникшие</w:t>
      </w:r>
      <w:r w:rsidRPr="007941CF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с 1 января 2018 года.</w:t>
      </w:r>
    </w:p>
    <w:p w:rsidR="006C48DA" w:rsidRPr="007941CF" w:rsidRDefault="006C48DA" w:rsidP="006C48DA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7. Подпункт 1.2</w:t>
      </w:r>
      <w:r w:rsidRPr="007941CF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пункта 1 настоящего решения вступает в силу с 1 января 2019 года, но не ранее чем по истечении одного месяца со дня его официального опубликования.</w:t>
      </w:r>
    </w:p>
    <w:p w:rsidR="005077FE" w:rsidRDefault="005077FE" w:rsidP="007359B7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7359B7" w:rsidRPr="007941CF" w:rsidRDefault="007359B7" w:rsidP="007359B7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  <w:r w:rsidRPr="007941CF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</w:p>
    <w:p w:rsidR="00681432" w:rsidRPr="007941CF" w:rsidRDefault="00681432" w:rsidP="00555E1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p w:rsidR="00681432" w:rsidRDefault="007359B7" w:rsidP="00555E13">
      <w:pPr>
        <w:suppressAutoHyphens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7941CF">
        <w:rPr>
          <w:rFonts w:ascii="Times New Roman" w:eastAsia="SimSun" w:hAnsi="Times New Roman" w:cs="Times New Roman"/>
          <w:sz w:val="28"/>
          <w:szCs w:val="28"/>
          <w:lang w:eastAsia="ar-SA"/>
        </w:rPr>
        <w:lastRenderedPageBreak/>
        <w:t>Глава</w:t>
      </w:r>
    </w:p>
    <w:p w:rsidR="00681432" w:rsidRDefault="00681432" w:rsidP="00555E13">
      <w:pPr>
        <w:suppressAutoHyphens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Покровского сельского </w:t>
      </w:r>
      <w:r w:rsidR="007359B7" w:rsidRPr="007941CF">
        <w:rPr>
          <w:rFonts w:ascii="Times New Roman" w:eastAsia="SimSun" w:hAnsi="Times New Roman" w:cs="Times New Roman"/>
          <w:sz w:val="28"/>
          <w:szCs w:val="28"/>
          <w:lang w:eastAsia="ar-SA"/>
        </w:rPr>
        <w:t>поселения</w:t>
      </w:r>
    </w:p>
    <w:p w:rsidR="007359B7" w:rsidRPr="00163C6A" w:rsidRDefault="00681432" w:rsidP="00555E13">
      <w:pPr>
        <w:suppressAutoHyphens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Новопокровского</w:t>
      </w:r>
      <w:r w:rsidR="007359B7" w:rsidRPr="007941CF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района      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                                       В.В.Сидоров</w:t>
      </w:r>
      <w:r w:rsidR="007359B7" w:rsidRPr="007941CF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</w:t>
      </w:r>
      <w:r w:rsidR="007359B7" w:rsidRPr="007941CF">
        <w:rPr>
          <w:rFonts w:ascii="Times New Roman" w:eastAsia="SimSun" w:hAnsi="Times New Roman" w:cs="Times New Roman"/>
          <w:sz w:val="28"/>
          <w:szCs w:val="28"/>
          <w:lang w:eastAsia="ar-SA"/>
        </w:rPr>
        <w:tab/>
      </w:r>
    </w:p>
    <w:p w:rsidR="00C07A1F" w:rsidRDefault="001565AA"/>
    <w:sectPr w:rsidR="00C07A1F" w:rsidSect="002C1203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9B7"/>
    <w:rsid w:val="00002173"/>
    <w:rsid w:val="00010773"/>
    <w:rsid w:val="00054674"/>
    <w:rsid w:val="0007787C"/>
    <w:rsid w:val="000F2CBB"/>
    <w:rsid w:val="001102E1"/>
    <w:rsid w:val="001565AA"/>
    <w:rsid w:val="00175CB2"/>
    <w:rsid w:val="00196B53"/>
    <w:rsid w:val="001C6AB2"/>
    <w:rsid w:val="0022283D"/>
    <w:rsid w:val="002264C5"/>
    <w:rsid w:val="00255454"/>
    <w:rsid w:val="002804AF"/>
    <w:rsid w:val="002C1203"/>
    <w:rsid w:val="00411410"/>
    <w:rsid w:val="004244F8"/>
    <w:rsid w:val="004B037B"/>
    <w:rsid w:val="004B54FB"/>
    <w:rsid w:val="004E0946"/>
    <w:rsid w:val="005077FE"/>
    <w:rsid w:val="00555E13"/>
    <w:rsid w:val="00566E79"/>
    <w:rsid w:val="005717EB"/>
    <w:rsid w:val="006161C4"/>
    <w:rsid w:val="006248BC"/>
    <w:rsid w:val="006643D7"/>
    <w:rsid w:val="00681432"/>
    <w:rsid w:val="006C48DA"/>
    <w:rsid w:val="007359B7"/>
    <w:rsid w:val="007504F7"/>
    <w:rsid w:val="00791092"/>
    <w:rsid w:val="007941CF"/>
    <w:rsid w:val="00797F50"/>
    <w:rsid w:val="007A2DAD"/>
    <w:rsid w:val="007D0DBA"/>
    <w:rsid w:val="007D5A2C"/>
    <w:rsid w:val="007F39A7"/>
    <w:rsid w:val="00876ED7"/>
    <w:rsid w:val="008C56FB"/>
    <w:rsid w:val="008D10C9"/>
    <w:rsid w:val="008D2E57"/>
    <w:rsid w:val="00961CC7"/>
    <w:rsid w:val="009725B6"/>
    <w:rsid w:val="0098472B"/>
    <w:rsid w:val="009C3A4D"/>
    <w:rsid w:val="009D39A9"/>
    <w:rsid w:val="00A131F9"/>
    <w:rsid w:val="00A160C2"/>
    <w:rsid w:val="00A45171"/>
    <w:rsid w:val="00A631A5"/>
    <w:rsid w:val="00B85A1D"/>
    <w:rsid w:val="00CB0966"/>
    <w:rsid w:val="00D312B8"/>
    <w:rsid w:val="00D3750F"/>
    <w:rsid w:val="00D51088"/>
    <w:rsid w:val="00D9700F"/>
    <w:rsid w:val="00F22E9A"/>
    <w:rsid w:val="00FA7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6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89FA03-D30E-4E06-8F09-C1DCEF1E7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Курусканова И.П.</dc:creator>
  <cp:lastModifiedBy>Nalogi</cp:lastModifiedBy>
  <cp:revision>2</cp:revision>
  <cp:lastPrinted>2018-12-13T08:22:00Z</cp:lastPrinted>
  <dcterms:created xsi:type="dcterms:W3CDTF">2018-12-18T08:02:00Z</dcterms:created>
  <dcterms:modified xsi:type="dcterms:W3CDTF">2018-12-18T08:02:00Z</dcterms:modified>
</cp:coreProperties>
</file>